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9A3A" w14:textId="44C6600A" w:rsidR="00AA4B71" w:rsidRDefault="00D31D53" w:rsidP="00D31D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Fourth Allegation Criteria</w:t>
      </w:r>
    </w:p>
    <w:p w14:paraId="095F264B" w14:textId="32161423" w:rsidR="00D31D53" w:rsidRDefault="00D31D53" w:rsidP="00D31D53">
      <w:pPr>
        <w:jc w:val="center"/>
      </w:pPr>
      <w:r>
        <w:rPr>
          <w:b/>
          <w:bCs/>
          <w:u w:val="single"/>
        </w:rPr>
        <w:t>Flowchart explanation sheet</w:t>
      </w:r>
    </w:p>
    <w:p w14:paraId="140F59DC" w14:textId="27AB47E2" w:rsidR="00D31D53" w:rsidRDefault="00D31D53" w:rsidP="00D31D53"/>
    <w:p w14:paraId="70F16F62" w14:textId="109971AA" w:rsidR="00D31D53" w:rsidRPr="00D31D53" w:rsidRDefault="00D31D53" w:rsidP="00D31D53">
      <w:pPr>
        <w:rPr>
          <w:u w:val="single"/>
        </w:rPr>
      </w:pPr>
      <w:r>
        <w:rPr>
          <w:u w:val="single"/>
        </w:rPr>
        <w:t>Introduction</w:t>
      </w:r>
    </w:p>
    <w:p w14:paraId="3F442A4D" w14:textId="72089EB0" w:rsidR="00D31D53" w:rsidRDefault="00D31D53" w:rsidP="00D31D53">
      <w:r>
        <w:t>In September 2020 the DfE introduced a fourth allegation criteria to Keeping Children Safe in Education. The new criteria</w:t>
      </w:r>
      <w:r w:rsidR="2D6C8BB4">
        <w:t xml:space="preserve"> states </w:t>
      </w:r>
      <w:r>
        <w:t xml:space="preserve">“behaved or may have behaved in a way that indicates they may not be suitable to work with children.” </w:t>
      </w:r>
    </w:p>
    <w:p w14:paraId="5D426CE5" w14:textId="7ECA6D04" w:rsidR="00D31D53" w:rsidRDefault="00D31D53" w:rsidP="00D31D53">
      <w:r>
        <w:t xml:space="preserve">While initially this was additional to the Working Together to Safeguard Children guidance, in January 2021 the new criteria was also applied to all areas of the children’s workforce. </w:t>
      </w:r>
    </w:p>
    <w:p w14:paraId="36C53368" w14:textId="271EEB06" w:rsidR="0027153D" w:rsidRDefault="0027153D" w:rsidP="00D31D53">
      <w:r>
        <w:t>If the events are from the private life of an individual the primary consideration is about the likelihood of transferable risk into the workplace.</w:t>
      </w:r>
    </w:p>
    <w:p w14:paraId="572BFEBD" w14:textId="4DD87CFD" w:rsidR="00D31D53" w:rsidRDefault="00D31D53" w:rsidP="00D31D53"/>
    <w:p w14:paraId="053FD812" w14:textId="5C24BEAA" w:rsidR="00D31D53" w:rsidRDefault="00D31D53" w:rsidP="00D31D53">
      <w:r>
        <w:rPr>
          <w:u w:val="single"/>
        </w:rPr>
        <w:t>Purpose of the flowchart</w:t>
      </w:r>
    </w:p>
    <w:p w14:paraId="40400785" w14:textId="0F441A39" w:rsidR="00D31D53" w:rsidRDefault="00D31D53" w:rsidP="00D31D53">
      <w:r>
        <w:t>The language used in the new criteria is subjective and</w:t>
      </w:r>
      <w:r w:rsidR="5901423F">
        <w:t>, without clear guidance,</w:t>
      </w:r>
      <w:r>
        <w:t xml:space="preserve"> could </w:t>
      </w:r>
      <w:r w:rsidR="55C9A17D">
        <w:t>result in</w:t>
      </w:r>
      <w:r>
        <w:t xml:space="preserve"> behaviours being</w:t>
      </w:r>
      <w:r w:rsidR="4F738856">
        <w:t xml:space="preserve"> either</w:t>
      </w:r>
      <w:r>
        <w:t xml:space="preserve"> over-reported or under-</w:t>
      </w:r>
      <w:r w:rsidR="6F70658F">
        <w:t>reported.</w:t>
      </w:r>
      <w:r>
        <w:t xml:space="preserve"> This flowchart has been produced for the Safeguarding Children Partnerships of Hampshire, the Isle of Wi</w:t>
      </w:r>
      <w:r w:rsidR="0027153D">
        <w:t>gh</w:t>
      </w:r>
      <w:r>
        <w:t>t, Portsmouth and Southampton (HIPS) to support organisations and individuals determine if concern</w:t>
      </w:r>
      <w:r w:rsidR="6C56F451">
        <w:t>s about “unsuitable behaviour”</w:t>
      </w:r>
      <w:r>
        <w:t xml:space="preserve"> </w:t>
      </w:r>
      <w:r w:rsidR="3F4DAEDD">
        <w:t xml:space="preserve">require a LADO referral. </w:t>
      </w:r>
      <w:r>
        <w:t xml:space="preserve"> </w:t>
      </w:r>
    </w:p>
    <w:p w14:paraId="490E66DB" w14:textId="433F0153" w:rsidR="00C47259" w:rsidRDefault="00C47259" w:rsidP="00D31D53">
      <w:r>
        <w:t>Throughout this guide, we will use the term ‘</w:t>
      </w:r>
      <w:r w:rsidRPr="00AA1E7E">
        <w:rPr>
          <w:b/>
          <w:bCs/>
        </w:rPr>
        <w:t>child’</w:t>
      </w:r>
      <w:r>
        <w:t xml:space="preserve"> to apply to anyone under 18. </w:t>
      </w:r>
      <w:r w:rsidR="00AA1E7E">
        <w:t>‘</w:t>
      </w:r>
      <w:r w:rsidR="00AA1E7E" w:rsidRPr="00AA1E7E">
        <w:rPr>
          <w:b/>
          <w:bCs/>
        </w:rPr>
        <w:t>Person of Concern</w:t>
      </w:r>
      <w:r w:rsidR="00AA1E7E">
        <w:t xml:space="preserve"> or </w:t>
      </w:r>
      <w:r w:rsidR="00AA1E7E" w:rsidRPr="00AA1E7E">
        <w:rPr>
          <w:b/>
          <w:bCs/>
        </w:rPr>
        <w:t>POC</w:t>
      </w:r>
      <w:r w:rsidR="00AA1E7E" w:rsidRPr="00AA1E7E">
        <w:t>’</w:t>
      </w:r>
      <w:r w:rsidR="00AA1E7E">
        <w:t xml:space="preserve"> is the phrase used to identify the adult of concern. </w:t>
      </w:r>
      <w:r>
        <w:t>‘</w:t>
      </w:r>
      <w:r w:rsidRPr="00AA1E7E">
        <w:rPr>
          <w:b/>
          <w:bCs/>
        </w:rPr>
        <w:t>Employer</w:t>
      </w:r>
      <w:r>
        <w:t xml:space="preserve">’ </w:t>
      </w:r>
      <w:r w:rsidR="00AA1E7E">
        <w:t xml:space="preserve">will be used to refer to the management of organisation the POC is working or volunteering for. </w:t>
      </w:r>
    </w:p>
    <w:p w14:paraId="43725ED5" w14:textId="01B13569" w:rsidR="00D31D53" w:rsidRDefault="00D31D53" w:rsidP="00D31D53"/>
    <w:p w14:paraId="065AC022" w14:textId="6B5E143F" w:rsidR="003E038E" w:rsidRDefault="003E038E" w:rsidP="003E038E">
      <w:pPr>
        <w:jc w:val="center"/>
        <w:rPr>
          <w:u w:val="single"/>
        </w:rPr>
      </w:pPr>
      <w:r>
        <w:rPr>
          <w:u w:val="single"/>
        </w:rPr>
        <w:t>Working through the flowchart</w:t>
      </w:r>
    </w:p>
    <w:p w14:paraId="61E41C81" w14:textId="6BFAE36C" w:rsidR="003E038E" w:rsidRDefault="003E038E" w:rsidP="003E038E">
      <w:r>
        <w:rPr>
          <w:u w:val="single"/>
        </w:rPr>
        <w:t>Information is received</w:t>
      </w:r>
    </w:p>
    <w:p w14:paraId="655794C5" w14:textId="5000B29A" w:rsidR="003E038E" w:rsidRDefault="003E038E" w:rsidP="003E038E">
      <w:r>
        <w:t xml:space="preserve">there are a number of </w:t>
      </w:r>
      <w:r w:rsidR="4ACE620A">
        <w:t>ways in which allegations could come</w:t>
      </w:r>
      <w:r>
        <w:t xml:space="preserve"> to your attention. Sometimes the information is sent directly to the LADO who makes contact with you as the </w:t>
      </w:r>
      <w:r w:rsidR="00E17A93">
        <w:t>‘</w:t>
      </w:r>
      <w:r>
        <w:t>employer</w:t>
      </w:r>
      <w:r w:rsidR="00E17A93">
        <w:t>’.</w:t>
      </w:r>
      <w:r>
        <w:t xml:space="preserve"> </w:t>
      </w:r>
      <w:r w:rsidR="00E17A93">
        <w:t xml:space="preserve">The </w:t>
      </w:r>
      <w:r>
        <w:t xml:space="preserve">other </w:t>
      </w:r>
      <w:r w:rsidR="00E17A93">
        <w:t xml:space="preserve">potential routes are </w:t>
      </w:r>
      <w:r w:rsidR="02DAE46E">
        <w:t>through</w:t>
      </w:r>
      <w:r w:rsidR="00E17A93">
        <w:t xml:space="preserve"> children, parents, colleagues, external organisations or members of the community making you</w:t>
      </w:r>
      <w:r>
        <w:t xml:space="preserve"> aware of concerning behaviours. </w:t>
      </w:r>
    </w:p>
    <w:p w14:paraId="25963065" w14:textId="69406985" w:rsidR="00E17A93" w:rsidRDefault="00E17A93" w:rsidP="640A6CBA">
      <w:pPr>
        <w:rPr>
          <w:i/>
          <w:iCs/>
          <w:u w:val="single"/>
        </w:rPr>
      </w:pPr>
      <w:r w:rsidRPr="640A6CBA">
        <w:rPr>
          <w:i/>
          <w:iCs/>
          <w:u w:val="single"/>
        </w:rPr>
        <w:t xml:space="preserve">Does </w:t>
      </w:r>
      <w:r w:rsidR="6A640C2C" w:rsidRPr="640A6CBA">
        <w:rPr>
          <w:i/>
          <w:iCs/>
          <w:u w:val="single"/>
        </w:rPr>
        <w:t>the behaviour reach the</w:t>
      </w:r>
      <w:r w:rsidR="70CAA290" w:rsidRPr="640A6CBA">
        <w:rPr>
          <w:i/>
          <w:iCs/>
          <w:u w:val="single"/>
        </w:rPr>
        <w:t xml:space="preserve"> allegations</w:t>
      </w:r>
      <w:r w:rsidR="6A640C2C" w:rsidRPr="640A6CBA">
        <w:rPr>
          <w:i/>
          <w:iCs/>
          <w:u w:val="single"/>
        </w:rPr>
        <w:t xml:space="preserve"> threshold under the other </w:t>
      </w:r>
      <w:r w:rsidR="122B6EDC" w:rsidRPr="640A6CBA">
        <w:rPr>
          <w:i/>
          <w:iCs/>
          <w:u w:val="single"/>
        </w:rPr>
        <w:t>three criteria?</w:t>
      </w:r>
      <w:r w:rsidR="122B6EDC" w:rsidRPr="640A6CBA">
        <w:rPr>
          <w:i/>
          <w:iCs/>
        </w:rPr>
        <w:t xml:space="preserve"> </w:t>
      </w:r>
    </w:p>
    <w:p w14:paraId="6AFD08CC" w14:textId="1F6BF68D" w:rsidR="00E17A93" w:rsidRDefault="00E17A93" w:rsidP="003E038E">
      <w:r>
        <w:t xml:space="preserve">If the behaviour of concern is directed </w:t>
      </w:r>
      <w:r w:rsidR="50C2F849">
        <w:t>against or towards</w:t>
      </w:r>
      <w:r>
        <w:t xml:space="preserve"> children then on</w:t>
      </w:r>
      <w:r w:rsidR="18B01CF2">
        <w:t>e</w:t>
      </w:r>
      <w:r>
        <w:t xml:space="preserve"> of the first three allegation criteria may have been met. If so, refer to the LADO.</w:t>
      </w:r>
    </w:p>
    <w:p w14:paraId="61BC9440" w14:textId="5CF6A962" w:rsidR="00E17A93" w:rsidRDefault="00E17A93" w:rsidP="00E17A93">
      <w:pPr>
        <w:rPr>
          <w:i/>
        </w:rPr>
      </w:pPr>
      <w:r w:rsidRPr="00E17A93">
        <w:rPr>
          <w:i/>
          <w:iCs/>
        </w:rPr>
        <w:t xml:space="preserve">Does it describe behaviour </w:t>
      </w:r>
      <w:r w:rsidR="6B5A98EF" w:rsidRPr="7D0C427D">
        <w:rPr>
          <w:i/>
          <w:iCs/>
        </w:rPr>
        <w:t>t</w:t>
      </w:r>
      <w:r w:rsidR="73B9D456" w:rsidRPr="7D0C427D">
        <w:rPr>
          <w:i/>
          <w:iCs/>
        </w:rPr>
        <w:t>hat</w:t>
      </w:r>
      <w:r w:rsidRPr="00E17A93">
        <w:rPr>
          <w:i/>
          <w:iCs/>
        </w:rPr>
        <w:t xml:space="preserve"> may indicate the member of staff </w:t>
      </w:r>
      <w:r w:rsidR="6BA6804A" w:rsidRPr="7D0C427D">
        <w:rPr>
          <w:b/>
          <w:bCs/>
          <w:i/>
          <w:iCs/>
          <w:u w:val="single"/>
        </w:rPr>
        <w:t>is unsuitable to</w:t>
      </w:r>
      <w:r w:rsidRPr="00E17A93">
        <w:rPr>
          <w:b/>
          <w:bCs/>
          <w:i/>
          <w:iCs/>
          <w:u w:val="single"/>
        </w:rPr>
        <w:t xml:space="preserve"> work with children</w:t>
      </w:r>
      <w:r w:rsidRPr="00E17A93">
        <w:rPr>
          <w:i/>
          <w:iCs/>
        </w:rPr>
        <w:t>?</w:t>
      </w:r>
    </w:p>
    <w:p w14:paraId="1890C9C1" w14:textId="103BD850" w:rsidR="00E17A93" w:rsidRDefault="00E17A93" w:rsidP="00E17A93">
      <w:r>
        <w:t xml:space="preserve">The behaviours that have been reported to you may be very concerning or </w:t>
      </w:r>
      <w:r w:rsidR="6B5A98EF">
        <w:t>pos</w:t>
      </w:r>
      <w:r w:rsidR="0AD11857">
        <w:t>e</w:t>
      </w:r>
      <w:r>
        <w:t xml:space="preserve"> a risk to your organisation, however if </w:t>
      </w:r>
      <w:r w:rsidR="02CBA1D5">
        <w:t>the</w:t>
      </w:r>
      <w:r w:rsidR="4A3AD64F">
        <w:t>re are no grounds</w:t>
      </w:r>
      <w:r>
        <w:t xml:space="preserve"> for dismissal</w:t>
      </w:r>
      <w:r w:rsidR="00B761F3">
        <w:t xml:space="preserve"> </w:t>
      </w:r>
      <w:r w:rsidR="00B761F3">
        <w:t>from employment, ending the worker’s engagement (casual or agency workers)</w:t>
      </w:r>
      <w:r w:rsidR="0B86AEAE">
        <w:t xml:space="preserve">, </w:t>
      </w:r>
      <w:r>
        <w:t xml:space="preserve"> or ending the volunteering position , then this would not reach the allegation criteria. </w:t>
      </w:r>
    </w:p>
    <w:p w14:paraId="38EF306B" w14:textId="3F6AB4C3" w:rsidR="00E17A93" w:rsidRDefault="00261585" w:rsidP="00E17A93">
      <w:r>
        <w:lastRenderedPageBreak/>
        <w:t>For example, t</w:t>
      </w:r>
      <w:r w:rsidR="00E17A93">
        <w:t>here may be situations, such as fraud, that would lead to a dismissal, however this poses a risk to the organisation rather than</w:t>
      </w:r>
      <w:r w:rsidR="0456B582">
        <w:t xml:space="preserve"> to</w:t>
      </w:r>
      <w:r w:rsidR="00E17A93">
        <w:t xml:space="preserve"> children</w:t>
      </w:r>
      <w:r w:rsidR="048262B1">
        <w:t>,</w:t>
      </w:r>
      <w:r w:rsidR="00E17A93">
        <w:t xml:space="preserve"> so would not reach the criteria</w:t>
      </w:r>
    </w:p>
    <w:p w14:paraId="1A2414C4" w14:textId="630B6284" w:rsidR="00E17A93" w:rsidRDefault="00E17A93" w:rsidP="00E17A93">
      <w:r>
        <w:t>In these situations you will still need to investigate and ensure a proportionate response is put in place</w:t>
      </w:r>
      <w:r w:rsidR="00261585">
        <w:t>, procedures are followed and</w:t>
      </w:r>
      <w:r w:rsidR="00261585">
        <w:t xml:space="preserve"> advice </w:t>
      </w:r>
      <w:r w:rsidR="00261585">
        <w:t xml:space="preserve">sought </w:t>
      </w:r>
      <w:r w:rsidR="00261585">
        <w:t>from your HR provider</w:t>
      </w:r>
      <w:r w:rsidR="00261585">
        <w:t xml:space="preserve"> or relevant body. T</w:t>
      </w:r>
      <w:r>
        <w:t xml:space="preserve">he matter would not require the </w:t>
      </w:r>
      <w:r w:rsidR="02CBA1D5">
        <w:t>oversi</w:t>
      </w:r>
      <w:r w:rsidR="681FF93C">
        <w:t>ght</w:t>
      </w:r>
      <w:r>
        <w:t xml:space="preserve"> of the LADO. </w:t>
      </w:r>
    </w:p>
    <w:p w14:paraId="6B7FFFFA" w14:textId="01657AF2" w:rsidR="00E17A93" w:rsidRDefault="00E17A93" w:rsidP="00E17A93">
      <w:r>
        <w:t xml:space="preserve">If you are unsure, contact the LADO </w:t>
      </w:r>
      <w:r w:rsidR="188B70F7">
        <w:t xml:space="preserve">for advice. </w:t>
      </w:r>
      <w:r>
        <w:t xml:space="preserve"> </w:t>
      </w:r>
    </w:p>
    <w:p w14:paraId="78AA0AD6" w14:textId="2E6EA0D7" w:rsidR="00E17A93" w:rsidRDefault="00E17A93" w:rsidP="00E17A93"/>
    <w:p w14:paraId="1FFC76B0" w14:textId="417E4B1B" w:rsidR="00E17A93" w:rsidRPr="00E17A93" w:rsidRDefault="00E17A93" w:rsidP="00E17A93">
      <w:pPr>
        <w:rPr>
          <w:u w:val="single"/>
        </w:rPr>
      </w:pPr>
      <w:r w:rsidRPr="640A6CBA">
        <w:rPr>
          <w:u w:val="single"/>
        </w:rPr>
        <w:t xml:space="preserve">Is it reasonable that the </w:t>
      </w:r>
      <w:r w:rsidR="00AA1E7E" w:rsidRPr="640A6CBA">
        <w:rPr>
          <w:u w:val="single"/>
        </w:rPr>
        <w:t>Person of Concern</w:t>
      </w:r>
      <w:r w:rsidRPr="640A6CBA">
        <w:rPr>
          <w:u w:val="single"/>
        </w:rPr>
        <w:t xml:space="preserve"> </w:t>
      </w:r>
      <w:r w:rsidR="00261585">
        <w:rPr>
          <w:u w:val="single"/>
        </w:rPr>
        <w:t>sh</w:t>
      </w:r>
      <w:r w:rsidRPr="640A6CBA">
        <w:rPr>
          <w:u w:val="single"/>
        </w:rPr>
        <w:t>ould know the behaviour was unacceptable</w:t>
      </w:r>
      <w:r w:rsidR="73080FA8" w:rsidRPr="640A6CBA">
        <w:rPr>
          <w:u w:val="single"/>
        </w:rPr>
        <w:t>?</w:t>
      </w:r>
    </w:p>
    <w:p w14:paraId="651D1D90" w14:textId="76954FFA" w:rsidR="00E17A93" w:rsidRDefault="39A7BC83" w:rsidP="00E17A93">
      <w:r>
        <w:t>T</w:t>
      </w:r>
      <w:r w:rsidR="51BFD6B7">
        <w:t xml:space="preserve">his part looks at the need for </w:t>
      </w:r>
      <w:r w:rsidR="00C47259">
        <w:t xml:space="preserve">some objective </w:t>
      </w:r>
      <w:r w:rsidR="7376B3D5">
        <w:t>assessment</w:t>
      </w:r>
      <w:r w:rsidR="00C47259">
        <w:t xml:space="preserve">. </w:t>
      </w:r>
    </w:p>
    <w:p w14:paraId="17DFAE4B" w14:textId="70AFEE3A" w:rsidR="00AA1E7E" w:rsidRDefault="00C47259" w:rsidP="00E17A93">
      <w:r>
        <w:t xml:space="preserve">The </w:t>
      </w:r>
      <w:r w:rsidR="1E14398E">
        <w:t>question</w:t>
      </w:r>
      <w:r w:rsidR="72AF56EC">
        <w:t>s</w:t>
      </w:r>
      <w:r>
        <w:t xml:space="preserve"> in this </w:t>
      </w:r>
      <w:r w:rsidR="7803EB31">
        <w:t>part</w:t>
      </w:r>
      <w:r>
        <w:t xml:space="preserve"> of the flowchart are intended to give you </w:t>
      </w:r>
      <w:r w:rsidR="4E24225C">
        <w:t>some</w:t>
      </w:r>
      <w:r>
        <w:t xml:space="preserve"> </w:t>
      </w:r>
      <w:r w:rsidR="4E24225C">
        <w:t xml:space="preserve">guidance about </w:t>
      </w:r>
      <w:r w:rsidR="57429159">
        <w:t>where expected</w:t>
      </w:r>
      <w:r w:rsidR="00AA1E7E">
        <w:t xml:space="preserve"> behaviours</w:t>
      </w:r>
      <w:r w:rsidR="35F41D08">
        <w:t xml:space="preserve">, or the principles of suitable behaviour, </w:t>
      </w:r>
      <w:r w:rsidR="00AA1E7E">
        <w:t>are set out</w:t>
      </w:r>
      <w:r w:rsidR="4F740B62">
        <w:t xml:space="preserve"> &amp; communicated to </w:t>
      </w:r>
      <w:r w:rsidR="7D55813E">
        <w:t>staff.</w:t>
      </w:r>
      <w:r w:rsidR="00AA1E7E">
        <w:t xml:space="preserve"> </w:t>
      </w:r>
    </w:p>
    <w:p w14:paraId="2EA4272E" w14:textId="0B6A1C8D" w:rsidR="00AA1E7E" w:rsidRDefault="1AECC732" w:rsidP="00E17A93">
      <w:r>
        <w:t xml:space="preserve">The </w:t>
      </w:r>
      <w:r w:rsidR="20ECF406">
        <w:t>POC’s profession or employment may</w:t>
      </w:r>
      <w:r w:rsidR="00AA1E7E">
        <w:t xml:space="preserve"> be </w:t>
      </w:r>
      <w:r w:rsidR="1B9457BD">
        <w:t>governed by</w:t>
      </w:r>
      <w:r w:rsidR="2A24E8B1">
        <w:t xml:space="preserve"> a</w:t>
      </w:r>
      <w:r w:rsidR="44BE20ED">
        <w:t xml:space="preserve"> </w:t>
      </w:r>
      <w:r w:rsidR="2AC4B95C">
        <w:t>N</w:t>
      </w:r>
      <w:r w:rsidR="00AA1E7E">
        <w:t>ational</w:t>
      </w:r>
      <w:r w:rsidR="6D14CA82">
        <w:t xml:space="preserve"> </w:t>
      </w:r>
      <w:r w:rsidR="3BD87661">
        <w:t>B</w:t>
      </w:r>
      <w:r w:rsidR="107451C3">
        <w:t>ody, regulation</w:t>
      </w:r>
      <w:r w:rsidR="00501277">
        <w:t>,</w:t>
      </w:r>
      <w:r w:rsidR="00AA1E7E">
        <w:t xml:space="preserve"> </w:t>
      </w:r>
      <w:r w:rsidR="00501277">
        <w:t xml:space="preserve">Codes of Conducts </w:t>
      </w:r>
      <w:r w:rsidR="00AA1E7E">
        <w:t>or standards</w:t>
      </w:r>
      <w:r w:rsidR="00261585">
        <w:t xml:space="preserve"> e.g. Teacher Standards, sporting body</w:t>
      </w:r>
      <w:r w:rsidR="00AA1E7E">
        <w:t xml:space="preserve">. </w:t>
      </w:r>
      <w:r w:rsidR="44BE20ED">
        <w:t xml:space="preserve">Don’t forget to look </w:t>
      </w:r>
      <w:r w:rsidR="56973E9C">
        <w:t xml:space="preserve">at the </w:t>
      </w:r>
      <w:r w:rsidR="44BE20ED">
        <w:t xml:space="preserve">expectations set out by these </w:t>
      </w:r>
      <w:r w:rsidR="77A3AE7F">
        <w:t>B</w:t>
      </w:r>
      <w:r w:rsidR="44BE20ED">
        <w:t>odies</w:t>
      </w:r>
      <w:r w:rsidR="00501277">
        <w:t xml:space="preserve"> and/or your HR provider</w:t>
      </w:r>
      <w:r w:rsidR="44BE20ED">
        <w:t xml:space="preserve"> when considering if the POC should know the behaviour is unacceptable.</w:t>
      </w:r>
    </w:p>
    <w:p w14:paraId="4DD02803" w14:textId="3431DCCA" w:rsidR="00C6210B" w:rsidRDefault="34A07F29" w:rsidP="00C6210B">
      <w:r>
        <w:t xml:space="preserve">If the national standards do not </w:t>
      </w:r>
      <w:r w:rsidR="5FE2D94F">
        <w:t>refer</w:t>
      </w:r>
      <w:r>
        <w:t>e</w:t>
      </w:r>
      <w:r w:rsidR="5FE2D94F">
        <w:t>nce the</w:t>
      </w:r>
      <w:r>
        <w:t xml:space="preserve"> behaviours presented by the POC</w:t>
      </w:r>
      <w:r w:rsidR="00C6210B">
        <w:t xml:space="preserve">, </w:t>
      </w:r>
      <w:r w:rsidR="0BD759A7">
        <w:t>but you</w:t>
      </w:r>
      <w:r w:rsidR="00C6210B">
        <w:t xml:space="preserve"> still </w:t>
      </w:r>
      <w:r w:rsidR="6B16B7BB">
        <w:t>believe that</w:t>
      </w:r>
      <w:r w:rsidR="00C6210B">
        <w:t xml:space="preserve"> the POC </w:t>
      </w:r>
      <w:r w:rsidR="51F64D5B">
        <w:t xml:space="preserve">is </w:t>
      </w:r>
      <w:r w:rsidR="2A61F07D">
        <w:t>un</w:t>
      </w:r>
      <w:r w:rsidR="51F64D5B">
        <w:t xml:space="preserve">suitable to work </w:t>
      </w:r>
      <w:r w:rsidR="00C6210B">
        <w:t xml:space="preserve">children, </w:t>
      </w:r>
      <w:r w:rsidR="7C784680">
        <w:t>contact</w:t>
      </w:r>
      <w:r w:rsidR="00C6210B">
        <w:t xml:space="preserve"> the LADO. </w:t>
      </w:r>
    </w:p>
    <w:p w14:paraId="0221474F" w14:textId="6B62C115" w:rsidR="00E17A93" w:rsidRDefault="2B27CA55" w:rsidP="640A6CBA">
      <w:r>
        <w:t>Over time</w:t>
      </w:r>
      <w:r w:rsidR="00AA1E7E">
        <w:t xml:space="preserve">, you may find the need to update or amend your </w:t>
      </w:r>
      <w:r w:rsidR="00261585">
        <w:t>policies and procedures</w:t>
      </w:r>
      <w:r w:rsidR="00AA1E7E">
        <w:t xml:space="preserve"> in order to address gaps </w:t>
      </w:r>
      <w:r w:rsidR="62A03F4A">
        <w:t>that have been highlighted by case work</w:t>
      </w:r>
      <w:r w:rsidR="00AA1E7E">
        <w:t xml:space="preserve">. As a point of </w:t>
      </w:r>
      <w:r w:rsidR="15EF24A2">
        <w:t>reference,</w:t>
      </w:r>
      <w:r w:rsidR="72156895">
        <w:t xml:space="preserve"> the guidance produced by </w:t>
      </w:r>
      <w:r w:rsidR="018EE338">
        <w:t>the Safer</w:t>
      </w:r>
      <w:r w:rsidR="018EE338" w:rsidRPr="640A6CBA">
        <w:rPr>
          <w:rFonts w:ascii="Calibri" w:eastAsia="Calibri" w:hAnsi="Calibri" w:cs="Calibri"/>
        </w:rPr>
        <w:t xml:space="preserve"> Recruitment Consortium</w:t>
      </w:r>
      <w:r w:rsidR="00AA1E7E">
        <w:t xml:space="preserve"> ‘</w:t>
      </w:r>
      <w:r w:rsidR="00AA1E7E" w:rsidRPr="640A6CBA">
        <w:rPr>
          <w:i/>
          <w:iCs/>
        </w:rPr>
        <w:t>Safer Working Practice for Adults who Work with Children and Young People in Education Settings</w:t>
      </w:r>
      <w:r w:rsidR="00AA1E7E">
        <w:t>’</w:t>
      </w:r>
      <w:r w:rsidR="00C47259">
        <w:t xml:space="preserve"> </w:t>
      </w:r>
      <w:r w:rsidR="5F3CFBE5">
        <w:t>is helpful in</w:t>
      </w:r>
      <w:r w:rsidR="00AA1E7E">
        <w:t xml:space="preserve"> setting out acceptable and unacceptable behaviour. </w:t>
      </w:r>
    </w:p>
    <w:p w14:paraId="5E0AD911" w14:textId="1BD807FC" w:rsidR="00DB5A45" w:rsidRDefault="00DB5A45" w:rsidP="13191B6A">
      <w:pPr>
        <w:rPr>
          <w:u w:val="single"/>
        </w:rPr>
      </w:pPr>
      <w:r w:rsidRPr="13191B6A">
        <w:rPr>
          <w:u w:val="single"/>
        </w:rPr>
        <w:t xml:space="preserve">Does the behaviour identify a risk to </w:t>
      </w:r>
      <w:r w:rsidR="55B0249B" w:rsidRPr="13191B6A">
        <w:rPr>
          <w:u w:val="single"/>
        </w:rPr>
        <w:t>children?</w:t>
      </w:r>
    </w:p>
    <w:p w14:paraId="10517522" w14:textId="7E6B89D5" w:rsidR="00BA3F61" w:rsidRDefault="5DCBBCB6" w:rsidP="00E17A93">
      <w:r>
        <w:t xml:space="preserve">For the purposes of this guidance, direct risk refers </w:t>
      </w:r>
      <w:r w:rsidR="00BA3368">
        <w:t xml:space="preserve">to </w:t>
      </w:r>
      <w:r w:rsidR="00F13CCE">
        <w:t xml:space="preserve">behaviours that </w:t>
      </w:r>
      <w:r w:rsidR="26277B48">
        <w:t>occurred within</w:t>
      </w:r>
      <w:r w:rsidR="00F13CCE">
        <w:t xml:space="preserve"> the </w:t>
      </w:r>
      <w:r w:rsidR="72304F77">
        <w:t>workplace.</w:t>
      </w:r>
      <w:r w:rsidR="196FFB71">
        <w:t xml:space="preserve"> </w:t>
      </w:r>
      <w:r w:rsidR="0DEE7369">
        <w:t xml:space="preserve"> Does the presenting behaviour pose a risk to children in your setting? </w:t>
      </w:r>
    </w:p>
    <w:p w14:paraId="1C2FDA68" w14:textId="082C0E59" w:rsidR="00BA3F61" w:rsidRDefault="00BA3F61" w:rsidP="00E17A93">
      <w:r>
        <w:t xml:space="preserve">Transferable risk </w:t>
      </w:r>
      <w:r w:rsidR="080C0F27">
        <w:t>refers</w:t>
      </w:r>
      <w:r>
        <w:t xml:space="preserve"> to behaviour outside of the workplace. Is there a likelihood that the behaviours </w:t>
      </w:r>
      <w:r w:rsidR="00501277">
        <w:t>could</w:t>
      </w:r>
      <w:r>
        <w:t xml:space="preserve"> be repeated in the workplace and </w:t>
      </w:r>
      <w:r w:rsidR="00501277">
        <w:t>might</w:t>
      </w:r>
      <w:r w:rsidR="257F34CF">
        <w:t xml:space="preserve"> the behaviour</w:t>
      </w:r>
      <w:r w:rsidR="00A020A1">
        <w:t xml:space="preserve"> p</w:t>
      </w:r>
      <w:r w:rsidR="1CBE2625">
        <w:t>resent</w:t>
      </w:r>
      <w:r w:rsidR="00A020A1">
        <w:t xml:space="preserve"> a risk of harm to children</w:t>
      </w:r>
      <w:r w:rsidR="46B0F458">
        <w:t xml:space="preserve"> in your setting</w:t>
      </w:r>
      <w:r w:rsidR="00A020A1">
        <w:t>?</w:t>
      </w:r>
    </w:p>
    <w:p w14:paraId="2C387BAC" w14:textId="707D6961" w:rsidR="0027153D" w:rsidRDefault="004D10CC" w:rsidP="00E17A93">
      <w:r>
        <w:t xml:space="preserve">If there is </w:t>
      </w:r>
      <w:r w:rsidR="0027153D">
        <w:t>potential</w:t>
      </w:r>
      <w:r w:rsidR="0030287C">
        <w:t xml:space="preserve"> risk</w:t>
      </w:r>
      <w:r w:rsidR="5A9D6769">
        <w:t xml:space="preserve"> of harm</w:t>
      </w:r>
      <w:r w:rsidR="0030287C">
        <w:t xml:space="preserve"> to children, then the matter </w:t>
      </w:r>
      <w:r w:rsidR="00501277">
        <w:t>will</w:t>
      </w:r>
      <w:r w:rsidR="0030287C">
        <w:t xml:space="preserve"> </w:t>
      </w:r>
      <w:r w:rsidR="19BA6C4B">
        <w:t xml:space="preserve">reach the threshold for </w:t>
      </w:r>
      <w:r w:rsidR="00501277">
        <w:t xml:space="preserve">LADO </w:t>
      </w:r>
      <w:r w:rsidR="19BA6C4B">
        <w:t xml:space="preserve">referral. </w:t>
      </w:r>
      <w:r w:rsidR="0030287C">
        <w:t xml:space="preserve"> </w:t>
      </w:r>
    </w:p>
    <w:p w14:paraId="40E465ED" w14:textId="3BEFCD3A" w:rsidR="003727F9" w:rsidRDefault="00467FFA" w:rsidP="00E17A93">
      <w:pPr>
        <w:rPr>
          <w:u w:val="single"/>
        </w:rPr>
      </w:pPr>
      <w:r>
        <w:rPr>
          <w:u w:val="single"/>
        </w:rPr>
        <w:t>Is the</w:t>
      </w:r>
      <w:r w:rsidR="00501277">
        <w:rPr>
          <w:u w:val="single"/>
        </w:rPr>
        <w:t>re a</w:t>
      </w:r>
      <w:r>
        <w:rPr>
          <w:u w:val="single"/>
        </w:rPr>
        <w:t xml:space="preserve"> risk?</w:t>
      </w:r>
    </w:p>
    <w:p w14:paraId="610F44EE" w14:textId="21F0F276" w:rsidR="00467FFA" w:rsidRDefault="00B62D17" w:rsidP="00E17A93">
      <w:r>
        <w:t xml:space="preserve">If </w:t>
      </w:r>
      <w:r w:rsidR="00990CCA">
        <w:t>behaviours</w:t>
      </w:r>
      <w:r>
        <w:t xml:space="preserve"> are reported that are non</w:t>
      </w:r>
      <w:r w:rsidR="00990CCA">
        <w:t>-</w:t>
      </w:r>
      <w:r>
        <w:t xml:space="preserve">recent </w:t>
      </w:r>
      <w:r w:rsidR="005223C8">
        <w:t xml:space="preserve">then </w:t>
      </w:r>
      <w:r w:rsidR="00F8493F">
        <w:t xml:space="preserve">consideration needs to be given to the </w:t>
      </w:r>
      <w:r w:rsidR="001056F5">
        <w:t xml:space="preserve">proportionality </w:t>
      </w:r>
      <w:r w:rsidR="0058238A">
        <w:t>of</w:t>
      </w:r>
      <w:r w:rsidR="001056F5">
        <w:t xml:space="preserve"> </w:t>
      </w:r>
      <w:r w:rsidR="00CD77E8">
        <w:t xml:space="preserve">investigating or considering the suitability of the POC. </w:t>
      </w:r>
    </w:p>
    <w:p w14:paraId="06F36248" w14:textId="75F970DC" w:rsidR="640A6CBA" w:rsidRDefault="00501277" w:rsidP="640A6CBA">
      <w:r>
        <w:t>If you believe there might be a risk to children, you should consult with the LADO.</w:t>
      </w:r>
    </w:p>
    <w:p w14:paraId="6F196509" w14:textId="31651878" w:rsidR="640A6CBA" w:rsidRDefault="640A6CBA" w:rsidP="640A6CBA"/>
    <w:p w14:paraId="52ECAA97" w14:textId="09130C8A" w:rsidR="640A6CBA" w:rsidRDefault="640A6CBA" w:rsidP="640A6CBA"/>
    <w:p w14:paraId="346745BE" w14:textId="4D19AE10" w:rsidR="640A6CBA" w:rsidRDefault="640A6CBA" w:rsidP="640A6CBA">
      <w:pPr>
        <w:ind w:left="547" w:hanging="547"/>
      </w:pPr>
    </w:p>
    <w:sectPr w:rsidR="640A6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489D"/>
    <w:multiLevelType w:val="hybridMultilevel"/>
    <w:tmpl w:val="C3CA91DC"/>
    <w:lvl w:ilvl="0" w:tplc="442C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61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E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4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A1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6B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C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761E1F"/>
    <w:multiLevelType w:val="hybridMultilevel"/>
    <w:tmpl w:val="73FE788C"/>
    <w:lvl w:ilvl="0" w:tplc="F21EFD9A">
      <w:start w:val="1"/>
      <w:numFmt w:val="decimal"/>
      <w:lvlText w:val="%1."/>
      <w:lvlJc w:val="left"/>
      <w:pPr>
        <w:ind w:left="720" w:hanging="360"/>
      </w:pPr>
    </w:lvl>
    <w:lvl w:ilvl="1" w:tplc="9808DBA0">
      <w:start w:val="1"/>
      <w:numFmt w:val="lowerLetter"/>
      <w:lvlText w:val="%2."/>
      <w:lvlJc w:val="left"/>
      <w:pPr>
        <w:ind w:left="1440" w:hanging="360"/>
      </w:pPr>
    </w:lvl>
    <w:lvl w:ilvl="2" w:tplc="12021518">
      <w:start w:val="1"/>
      <w:numFmt w:val="lowerRoman"/>
      <w:lvlText w:val="%3."/>
      <w:lvlJc w:val="right"/>
      <w:pPr>
        <w:ind w:left="2160" w:hanging="180"/>
      </w:pPr>
    </w:lvl>
    <w:lvl w:ilvl="3" w:tplc="B554D632">
      <w:start w:val="1"/>
      <w:numFmt w:val="decimal"/>
      <w:lvlText w:val="%4."/>
      <w:lvlJc w:val="left"/>
      <w:pPr>
        <w:ind w:left="2880" w:hanging="360"/>
      </w:pPr>
    </w:lvl>
    <w:lvl w:ilvl="4" w:tplc="DF903966">
      <w:start w:val="1"/>
      <w:numFmt w:val="lowerLetter"/>
      <w:lvlText w:val="%5."/>
      <w:lvlJc w:val="left"/>
      <w:pPr>
        <w:ind w:left="3600" w:hanging="360"/>
      </w:pPr>
    </w:lvl>
    <w:lvl w:ilvl="5" w:tplc="77FC7828">
      <w:start w:val="1"/>
      <w:numFmt w:val="lowerRoman"/>
      <w:lvlText w:val="%6."/>
      <w:lvlJc w:val="right"/>
      <w:pPr>
        <w:ind w:left="4320" w:hanging="180"/>
      </w:pPr>
    </w:lvl>
    <w:lvl w:ilvl="6" w:tplc="19923A12">
      <w:start w:val="1"/>
      <w:numFmt w:val="decimal"/>
      <w:lvlText w:val="%7."/>
      <w:lvlJc w:val="left"/>
      <w:pPr>
        <w:ind w:left="5040" w:hanging="360"/>
      </w:pPr>
    </w:lvl>
    <w:lvl w:ilvl="7" w:tplc="1CFA13AA">
      <w:start w:val="1"/>
      <w:numFmt w:val="lowerLetter"/>
      <w:lvlText w:val="%8."/>
      <w:lvlJc w:val="left"/>
      <w:pPr>
        <w:ind w:left="5760" w:hanging="360"/>
      </w:pPr>
    </w:lvl>
    <w:lvl w:ilvl="8" w:tplc="E6CA64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44FC"/>
    <w:multiLevelType w:val="hybridMultilevel"/>
    <w:tmpl w:val="65722E4E"/>
    <w:lvl w:ilvl="0" w:tplc="E20A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A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0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A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0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A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2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E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D53FFF"/>
    <w:multiLevelType w:val="hybridMultilevel"/>
    <w:tmpl w:val="AD74E996"/>
    <w:lvl w:ilvl="0" w:tplc="A8A0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8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E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E6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4E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8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3"/>
    <w:rsid w:val="00063783"/>
    <w:rsid w:val="000865D5"/>
    <w:rsid w:val="000C1730"/>
    <w:rsid w:val="001056F5"/>
    <w:rsid w:val="00124833"/>
    <w:rsid w:val="0013339B"/>
    <w:rsid w:val="0014718C"/>
    <w:rsid w:val="0019151E"/>
    <w:rsid w:val="001A0AEE"/>
    <w:rsid w:val="001A5479"/>
    <w:rsid w:val="001F19A1"/>
    <w:rsid w:val="00243EF6"/>
    <w:rsid w:val="00253681"/>
    <w:rsid w:val="00261585"/>
    <w:rsid w:val="0027153D"/>
    <w:rsid w:val="002B488C"/>
    <w:rsid w:val="002F3A83"/>
    <w:rsid w:val="0030287C"/>
    <w:rsid w:val="00306378"/>
    <w:rsid w:val="00336DC8"/>
    <w:rsid w:val="00347171"/>
    <w:rsid w:val="00353201"/>
    <w:rsid w:val="003727F9"/>
    <w:rsid w:val="00397332"/>
    <w:rsid w:val="003C4B34"/>
    <w:rsid w:val="003C66B8"/>
    <w:rsid w:val="003E038E"/>
    <w:rsid w:val="004433DA"/>
    <w:rsid w:val="00460C0C"/>
    <w:rsid w:val="00467FFA"/>
    <w:rsid w:val="0048186C"/>
    <w:rsid w:val="004C68C3"/>
    <w:rsid w:val="004D10CC"/>
    <w:rsid w:val="004F2089"/>
    <w:rsid w:val="00501277"/>
    <w:rsid w:val="005223C8"/>
    <w:rsid w:val="005253FA"/>
    <w:rsid w:val="00544E45"/>
    <w:rsid w:val="005479CD"/>
    <w:rsid w:val="0058238A"/>
    <w:rsid w:val="00584405"/>
    <w:rsid w:val="00591719"/>
    <w:rsid w:val="005C6582"/>
    <w:rsid w:val="00620451"/>
    <w:rsid w:val="006752AC"/>
    <w:rsid w:val="00685B7E"/>
    <w:rsid w:val="00692DD5"/>
    <w:rsid w:val="007726F7"/>
    <w:rsid w:val="00773AD4"/>
    <w:rsid w:val="007F2BD9"/>
    <w:rsid w:val="00880D37"/>
    <w:rsid w:val="00890E33"/>
    <w:rsid w:val="008A0BFC"/>
    <w:rsid w:val="008A21C9"/>
    <w:rsid w:val="008F5EA7"/>
    <w:rsid w:val="00925241"/>
    <w:rsid w:val="00935F0B"/>
    <w:rsid w:val="00955FA4"/>
    <w:rsid w:val="00970B32"/>
    <w:rsid w:val="00987901"/>
    <w:rsid w:val="00990CCA"/>
    <w:rsid w:val="00A020A1"/>
    <w:rsid w:val="00A9118D"/>
    <w:rsid w:val="00AA1E7E"/>
    <w:rsid w:val="00AA4B71"/>
    <w:rsid w:val="00AC5854"/>
    <w:rsid w:val="00B0757B"/>
    <w:rsid w:val="00B5064B"/>
    <w:rsid w:val="00B5731B"/>
    <w:rsid w:val="00B62D17"/>
    <w:rsid w:val="00B64604"/>
    <w:rsid w:val="00B761F3"/>
    <w:rsid w:val="00BA3368"/>
    <w:rsid w:val="00BA3F61"/>
    <w:rsid w:val="00BC6F4C"/>
    <w:rsid w:val="00BF78F4"/>
    <w:rsid w:val="00C47259"/>
    <w:rsid w:val="00C6210B"/>
    <w:rsid w:val="00CD77E8"/>
    <w:rsid w:val="00D00B67"/>
    <w:rsid w:val="00D2196E"/>
    <w:rsid w:val="00D31D53"/>
    <w:rsid w:val="00DB298C"/>
    <w:rsid w:val="00DB5A45"/>
    <w:rsid w:val="00E17A93"/>
    <w:rsid w:val="00E540EE"/>
    <w:rsid w:val="00EA5CC1"/>
    <w:rsid w:val="00ED28BB"/>
    <w:rsid w:val="00F13CCE"/>
    <w:rsid w:val="00F516EB"/>
    <w:rsid w:val="00F558F3"/>
    <w:rsid w:val="00F8488E"/>
    <w:rsid w:val="00F8493F"/>
    <w:rsid w:val="00F937E7"/>
    <w:rsid w:val="00FA0E63"/>
    <w:rsid w:val="00FF2C8B"/>
    <w:rsid w:val="018EE338"/>
    <w:rsid w:val="0196B03B"/>
    <w:rsid w:val="01D83719"/>
    <w:rsid w:val="0283C36D"/>
    <w:rsid w:val="0292E4DA"/>
    <w:rsid w:val="02CBA1D5"/>
    <w:rsid w:val="02DAE46E"/>
    <w:rsid w:val="03289C59"/>
    <w:rsid w:val="03455A4F"/>
    <w:rsid w:val="035EE6D8"/>
    <w:rsid w:val="0456B582"/>
    <w:rsid w:val="045C6756"/>
    <w:rsid w:val="048262B1"/>
    <w:rsid w:val="05F837B7"/>
    <w:rsid w:val="060CE352"/>
    <w:rsid w:val="080C0F27"/>
    <w:rsid w:val="081E6718"/>
    <w:rsid w:val="08CFB7A6"/>
    <w:rsid w:val="08F32928"/>
    <w:rsid w:val="09766409"/>
    <w:rsid w:val="0A3A45DD"/>
    <w:rsid w:val="0AD11857"/>
    <w:rsid w:val="0B86AEAE"/>
    <w:rsid w:val="0BD759A7"/>
    <w:rsid w:val="0CA657A7"/>
    <w:rsid w:val="0D227F0F"/>
    <w:rsid w:val="0D25D699"/>
    <w:rsid w:val="0D667482"/>
    <w:rsid w:val="0DC0CD1A"/>
    <w:rsid w:val="0DE8E4B4"/>
    <w:rsid w:val="0DEE7369"/>
    <w:rsid w:val="0EF92DCA"/>
    <w:rsid w:val="10244183"/>
    <w:rsid w:val="107451C3"/>
    <w:rsid w:val="10965281"/>
    <w:rsid w:val="1171A56B"/>
    <w:rsid w:val="119AC63E"/>
    <w:rsid w:val="11DFE4F0"/>
    <w:rsid w:val="122B6EDC"/>
    <w:rsid w:val="1230CA78"/>
    <w:rsid w:val="125D718F"/>
    <w:rsid w:val="127D8A58"/>
    <w:rsid w:val="13191B6A"/>
    <w:rsid w:val="134891BD"/>
    <w:rsid w:val="13585AB6"/>
    <w:rsid w:val="13B75A67"/>
    <w:rsid w:val="15245619"/>
    <w:rsid w:val="15604FF2"/>
    <w:rsid w:val="15951251"/>
    <w:rsid w:val="15EF24A2"/>
    <w:rsid w:val="16F9398B"/>
    <w:rsid w:val="17C7B549"/>
    <w:rsid w:val="180D689A"/>
    <w:rsid w:val="188B70F7"/>
    <w:rsid w:val="18B01CF2"/>
    <w:rsid w:val="18FC5C84"/>
    <w:rsid w:val="1923165B"/>
    <w:rsid w:val="1935AABB"/>
    <w:rsid w:val="196FFB71"/>
    <w:rsid w:val="19BA6C4B"/>
    <w:rsid w:val="1AECC732"/>
    <w:rsid w:val="1AED2FBB"/>
    <w:rsid w:val="1B1E8810"/>
    <w:rsid w:val="1B47A918"/>
    <w:rsid w:val="1B9457BD"/>
    <w:rsid w:val="1BBC216A"/>
    <w:rsid w:val="1BC9DACD"/>
    <w:rsid w:val="1CAE2BB9"/>
    <w:rsid w:val="1CBE2625"/>
    <w:rsid w:val="1CD46792"/>
    <w:rsid w:val="1D1FD2B3"/>
    <w:rsid w:val="1D321965"/>
    <w:rsid w:val="1DDF62F2"/>
    <w:rsid w:val="1E14398E"/>
    <w:rsid w:val="1E7037F3"/>
    <w:rsid w:val="1F173F1A"/>
    <w:rsid w:val="1F6B9E08"/>
    <w:rsid w:val="1FC0A0DE"/>
    <w:rsid w:val="20DFBBC7"/>
    <w:rsid w:val="20ECF406"/>
    <w:rsid w:val="20FCB14E"/>
    <w:rsid w:val="210EB187"/>
    <w:rsid w:val="22374B01"/>
    <w:rsid w:val="22992730"/>
    <w:rsid w:val="23A83C94"/>
    <w:rsid w:val="2479DB90"/>
    <w:rsid w:val="250527FB"/>
    <w:rsid w:val="256398DE"/>
    <w:rsid w:val="256A84AD"/>
    <w:rsid w:val="257F34CF"/>
    <w:rsid w:val="25FA1C17"/>
    <w:rsid w:val="26277B48"/>
    <w:rsid w:val="2662217B"/>
    <w:rsid w:val="27BA1FB5"/>
    <w:rsid w:val="2821A112"/>
    <w:rsid w:val="28A796AF"/>
    <w:rsid w:val="2A24E8B1"/>
    <w:rsid w:val="2A61F07D"/>
    <w:rsid w:val="2AC4B95C"/>
    <w:rsid w:val="2AE704F5"/>
    <w:rsid w:val="2B27CA55"/>
    <w:rsid w:val="2BD0BB53"/>
    <w:rsid w:val="2CD7A55B"/>
    <w:rsid w:val="2D6C8BB4"/>
    <w:rsid w:val="2E1401E9"/>
    <w:rsid w:val="2EAE86E7"/>
    <w:rsid w:val="2ED7448F"/>
    <w:rsid w:val="30C32ECA"/>
    <w:rsid w:val="32F20149"/>
    <w:rsid w:val="33AD2587"/>
    <w:rsid w:val="34A07F29"/>
    <w:rsid w:val="356DBEDE"/>
    <w:rsid w:val="35F41D08"/>
    <w:rsid w:val="3686A6D7"/>
    <w:rsid w:val="389BABCE"/>
    <w:rsid w:val="39A7BC83"/>
    <w:rsid w:val="3A00D43D"/>
    <w:rsid w:val="3A3BA396"/>
    <w:rsid w:val="3A5DE701"/>
    <w:rsid w:val="3AA3A8FA"/>
    <w:rsid w:val="3AABBE2E"/>
    <w:rsid w:val="3B2BB705"/>
    <w:rsid w:val="3BA672F3"/>
    <w:rsid w:val="3BBE4B9A"/>
    <w:rsid w:val="3BD773F7"/>
    <w:rsid w:val="3BD87661"/>
    <w:rsid w:val="3C7EF2C3"/>
    <w:rsid w:val="3DC327C2"/>
    <w:rsid w:val="3E18E5E2"/>
    <w:rsid w:val="3E596B39"/>
    <w:rsid w:val="3F4DAEDD"/>
    <w:rsid w:val="4002D7AC"/>
    <w:rsid w:val="40319BEA"/>
    <w:rsid w:val="410FA0D6"/>
    <w:rsid w:val="4141B7B1"/>
    <w:rsid w:val="418552D7"/>
    <w:rsid w:val="41FDAD34"/>
    <w:rsid w:val="420438F9"/>
    <w:rsid w:val="4238BE5F"/>
    <w:rsid w:val="42968479"/>
    <w:rsid w:val="42AEB0B7"/>
    <w:rsid w:val="42F4E38C"/>
    <w:rsid w:val="4330BB37"/>
    <w:rsid w:val="4335A649"/>
    <w:rsid w:val="43693CAC"/>
    <w:rsid w:val="43C95D7F"/>
    <w:rsid w:val="44BE20ED"/>
    <w:rsid w:val="453BD9BB"/>
    <w:rsid w:val="46212FD3"/>
    <w:rsid w:val="4627AF28"/>
    <w:rsid w:val="463AFB50"/>
    <w:rsid w:val="46B0F458"/>
    <w:rsid w:val="470B0CE0"/>
    <w:rsid w:val="479ADC11"/>
    <w:rsid w:val="47D584A9"/>
    <w:rsid w:val="4904D406"/>
    <w:rsid w:val="49F896F9"/>
    <w:rsid w:val="4A33562E"/>
    <w:rsid w:val="4A3AD64F"/>
    <w:rsid w:val="4A5D2A77"/>
    <w:rsid w:val="4ACE620A"/>
    <w:rsid w:val="4BF8FAD8"/>
    <w:rsid w:val="4C9F62BA"/>
    <w:rsid w:val="4CC4CAEC"/>
    <w:rsid w:val="4D2A7511"/>
    <w:rsid w:val="4E24225C"/>
    <w:rsid w:val="4F097047"/>
    <w:rsid w:val="4F099B1C"/>
    <w:rsid w:val="4F738856"/>
    <w:rsid w:val="4F740B62"/>
    <w:rsid w:val="4F7C0310"/>
    <w:rsid w:val="4FC76E31"/>
    <w:rsid w:val="5097D4A0"/>
    <w:rsid w:val="50C2F849"/>
    <w:rsid w:val="51052041"/>
    <w:rsid w:val="5166A839"/>
    <w:rsid w:val="5173EF5C"/>
    <w:rsid w:val="5190FB2A"/>
    <w:rsid w:val="51BFD6B7"/>
    <w:rsid w:val="51F64D5B"/>
    <w:rsid w:val="51FD3FE7"/>
    <w:rsid w:val="527A2F87"/>
    <w:rsid w:val="5450662A"/>
    <w:rsid w:val="54A242ED"/>
    <w:rsid w:val="54B407B1"/>
    <w:rsid w:val="54F63661"/>
    <w:rsid w:val="55418BFC"/>
    <w:rsid w:val="55833F30"/>
    <w:rsid w:val="558F462F"/>
    <w:rsid w:val="55B0249B"/>
    <w:rsid w:val="55C9A17D"/>
    <w:rsid w:val="56973E9C"/>
    <w:rsid w:val="573BAD7F"/>
    <w:rsid w:val="57429159"/>
    <w:rsid w:val="57AAC42B"/>
    <w:rsid w:val="57C8687C"/>
    <w:rsid w:val="57E190D9"/>
    <w:rsid w:val="5889BE28"/>
    <w:rsid w:val="58D6F3D3"/>
    <w:rsid w:val="5901423F"/>
    <w:rsid w:val="5922E556"/>
    <w:rsid w:val="59F68F80"/>
    <w:rsid w:val="5A178F2A"/>
    <w:rsid w:val="5A500E4A"/>
    <w:rsid w:val="5A734E41"/>
    <w:rsid w:val="5A8D8832"/>
    <w:rsid w:val="5A9BF3E4"/>
    <w:rsid w:val="5A9D6769"/>
    <w:rsid w:val="5AE7161F"/>
    <w:rsid w:val="5B1F60D8"/>
    <w:rsid w:val="5BA649AB"/>
    <w:rsid w:val="5D71F841"/>
    <w:rsid w:val="5DCBBCB6"/>
    <w:rsid w:val="5DEDDE45"/>
    <w:rsid w:val="5E626812"/>
    <w:rsid w:val="5EF32ABF"/>
    <w:rsid w:val="5F0AB21A"/>
    <w:rsid w:val="5F3CFBE5"/>
    <w:rsid w:val="5FE2D94F"/>
    <w:rsid w:val="60127D03"/>
    <w:rsid w:val="6045805F"/>
    <w:rsid w:val="60BD30DE"/>
    <w:rsid w:val="6131C39B"/>
    <w:rsid w:val="61593441"/>
    <w:rsid w:val="61A809B9"/>
    <w:rsid w:val="6219C280"/>
    <w:rsid w:val="62A03F4A"/>
    <w:rsid w:val="62B0ED4E"/>
    <w:rsid w:val="6322F2A5"/>
    <w:rsid w:val="640A6CBA"/>
    <w:rsid w:val="645484D4"/>
    <w:rsid w:val="673B9883"/>
    <w:rsid w:val="681FF93C"/>
    <w:rsid w:val="68CC90D8"/>
    <w:rsid w:val="6A205BF0"/>
    <w:rsid w:val="6A640C2C"/>
    <w:rsid w:val="6B16B7BB"/>
    <w:rsid w:val="6B4C27E1"/>
    <w:rsid w:val="6B5A98EF"/>
    <w:rsid w:val="6B640CA1"/>
    <w:rsid w:val="6BA6804A"/>
    <w:rsid w:val="6BBFA8A7"/>
    <w:rsid w:val="6BDF703A"/>
    <w:rsid w:val="6C42EE12"/>
    <w:rsid w:val="6C4B7315"/>
    <w:rsid w:val="6C56F451"/>
    <w:rsid w:val="6CA89F2E"/>
    <w:rsid w:val="6CE57811"/>
    <w:rsid w:val="6D108E10"/>
    <w:rsid w:val="6D14CA82"/>
    <w:rsid w:val="6D73ADDF"/>
    <w:rsid w:val="6DE88C3C"/>
    <w:rsid w:val="6EF21AF3"/>
    <w:rsid w:val="6F4BA857"/>
    <w:rsid w:val="6F70658F"/>
    <w:rsid w:val="701ADFD6"/>
    <w:rsid w:val="7037EFD6"/>
    <w:rsid w:val="70640193"/>
    <w:rsid w:val="70CAA290"/>
    <w:rsid w:val="72156895"/>
    <w:rsid w:val="72304F77"/>
    <w:rsid w:val="72AF56EC"/>
    <w:rsid w:val="73080FA8"/>
    <w:rsid w:val="7376B3D5"/>
    <w:rsid w:val="73B9D456"/>
    <w:rsid w:val="742518A2"/>
    <w:rsid w:val="748E3026"/>
    <w:rsid w:val="7541973A"/>
    <w:rsid w:val="7647A4D8"/>
    <w:rsid w:val="76B0C1CE"/>
    <w:rsid w:val="76CA97F7"/>
    <w:rsid w:val="773F3E28"/>
    <w:rsid w:val="7798EDEC"/>
    <w:rsid w:val="77A3AE7F"/>
    <w:rsid w:val="77F61E41"/>
    <w:rsid w:val="7803EB31"/>
    <w:rsid w:val="7821859E"/>
    <w:rsid w:val="786D94ED"/>
    <w:rsid w:val="7A1359DA"/>
    <w:rsid w:val="7A25C253"/>
    <w:rsid w:val="7A30E095"/>
    <w:rsid w:val="7A7D2027"/>
    <w:rsid w:val="7B68F594"/>
    <w:rsid w:val="7BBBE422"/>
    <w:rsid w:val="7BFC1305"/>
    <w:rsid w:val="7C784680"/>
    <w:rsid w:val="7CE7522F"/>
    <w:rsid w:val="7D0C427D"/>
    <w:rsid w:val="7D22F541"/>
    <w:rsid w:val="7D55813E"/>
    <w:rsid w:val="7D56A298"/>
    <w:rsid w:val="7D7786C9"/>
    <w:rsid w:val="7DA2BBC9"/>
    <w:rsid w:val="7E00500D"/>
    <w:rsid w:val="7E3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7765"/>
  <w15:chartTrackingRefBased/>
  <w15:docId w15:val="{499FA2E8-995C-4859-9482-E70BF20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1E8248CF2DE419151886F49E7451F" ma:contentTypeVersion="12" ma:contentTypeDescription="Create a new document." ma:contentTypeScope="" ma:versionID="7e58e898716b7d4ba6f8b29315f4c5f3">
  <xsd:schema xmlns:xsd="http://www.w3.org/2001/XMLSchema" xmlns:xs="http://www.w3.org/2001/XMLSchema" xmlns:p="http://schemas.microsoft.com/office/2006/metadata/properties" xmlns:ns2="4e9dd03f-2e57-4b28-b945-173e434e9251" xmlns:ns3="9c173929-7565-47c8-bb64-b3c2f548f430" targetNamespace="http://schemas.microsoft.com/office/2006/metadata/properties" ma:root="true" ma:fieldsID="97358a71e0f381cb93fb360f2d35f6c2" ns2:_="" ns3:_="">
    <xsd:import namespace="4e9dd03f-2e57-4b28-b945-173e434e9251"/>
    <xsd:import namespace="9c173929-7565-47c8-bb64-b3c2f548f4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3929-7565-47c8-bb64-b3c2f548f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9dd03f-2e57-4b28-b945-173e434e9251">7HE66H4RTQF2-233921732-829</_dlc_DocId>
    <_dlc_DocIdUrl xmlns="4e9dd03f-2e57-4b28-b945-173e434e9251">
      <Url>https://hants.sharepoint.com/sites/Hamps7083/_layouts/15/DocIdRedir.aspx?ID=7HE66H4RTQF2-233921732-829</Url>
      <Description>7HE66H4RTQF2-233921732-829</Description>
    </_dlc_DocIdUrl>
  </documentManagement>
</p:properties>
</file>

<file path=customXml/itemProps1.xml><?xml version="1.0" encoding="utf-8"?>
<ds:datastoreItem xmlns:ds="http://schemas.openxmlformats.org/officeDocument/2006/customXml" ds:itemID="{D4DF28B5-BA77-48CD-98E1-CE8AC1C01E80}"/>
</file>

<file path=customXml/itemProps2.xml><?xml version="1.0" encoding="utf-8"?>
<ds:datastoreItem xmlns:ds="http://schemas.openxmlformats.org/officeDocument/2006/customXml" ds:itemID="{41A54605-D61B-45F3-91DD-CB7D0143510F}"/>
</file>

<file path=customXml/itemProps3.xml><?xml version="1.0" encoding="utf-8"?>
<ds:datastoreItem xmlns:ds="http://schemas.openxmlformats.org/officeDocument/2006/customXml" ds:itemID="{4292D024-66E0-4DC4-B203-63DD58320704}"/>
</file>

<file path=customXml/itemProps4.xml><?xml version="1.0" encoding="utf-8"?>
<ds:datastoreItem xmlns:ds="http://schemas.openxmlformats.org/officeDocument/2006/customXml" ds:itemID="{917A9960-EFE3-489E-AC44-982E96110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Mark</dc:creator>
  <cp:keywords/>
  <dc:description/>
  <cp:lastModifiedBy>Blackwell, Mark</cp:lastModifiedBy>
  <cp:revision>2</cp:revision>
  <dcterms:created xsi:type="dcterms:W3CDTF">2021-03-10T13:57:00Z</dcterms:created>
  <dcterms:modified xsi:type="dcterms:W3CDTF">2021-03-10T13:57:00Z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0x0101008D81E8248CF2DE419151886F49E7451F</vt:lpwstr>
  </property>
  <property fmtid="{D5CDD505-2E9C-101B-9397-08002B2CF9AE}" pid="3" name="_dlc_DocIdItemGuid">
    <vt:lpwstr>a9fbb423-c9cb-43d5-bb5c-749a7a798b97</vt:lpwstr>
  </property>
</Properties>
</file>